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16C613FA" w:rsidR="003169F4" w:rsidRPr="003169F4" w:rsidRDefault="003169F4" w:rsidP="003169F4">
      <w:pPr>
        <w:ind w:left="2832" w:hanging="2832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F47F28" w:rsidRPr="00F47F28">
        <w:rPr>
          <w:b/>
          <w:sz w:val="22"/>
          <w:szCs w:val="22"/>
        </w:rPr>
        <w:t>„</w:t>
      </w:r>
      <w:r w:rsidR="00597AF2" w:rsidRPr="00597AF2">
        <w:rPr>
          <w:b/>
          <w:sz w:val="22"/>
          <w:szCs w:val="22"/>
        </w:rPr>
        <w:t xml:space="preserve"> PD </w:t>
      </w:r>
      <w:proofErr w:type="spellStart"/>
      <w:r w:rsidR="00597AF2" w:rsidRPr="00597AF2">
        <w:rPr>
          <w:b/>
          <w:sz w:val="22"/>
          <w:szCs w:val="22"/>
        </w:rPr>
        <w:t>částečná</w:t>
      </w:r>
      <w:proofErr w:type="spellEnd"/>
      <w:r w:rsidR="00597AF2" w:rsidRPr="00597AF2">
        <w:rPr>
          <w:b/>
          <w:sz w:val="22"/>
          <w:szCs w:val="22"/>
        </w:rPr>
        <w:t xml:space="preserve"> </w:t>
      </w:r>
      <w:proofErr w:type="spellStart"/>
      <w:r w:rsidR="00597AF2" w:rsidRPr="00597AF2">
        <w:rPr>
          <w:b/>
          <w:sz w:val="22"/>
          <w:szCs w:val="22"/>
        </w:rPr>
        <w:t>rekonstrukce</w:t>
      </w:r>
      <w:proofErr w:type="spellEnd"/>
      <w:r w:rsidR="00597AF2" w:rsidRPr="00597AF2">
        <w:rPr>
          <w:b/>
          <w:sz w:val="22"/>
          <w:szCs w:val="22"/>
        </w:rPr>
        <w:t xml:space="preserve"> </w:t>
      </w:r>
      <w:proofErr w:type="spellStart"/>
      <w:r w:rsidR="00597AF2" w:rsidRPr="00597AF2">
        <w:rPr>
          <w:b/>
          <w:sz w:val="22"/>
          <w:szCs w:val="22"/>
        </w:rPr>
        <w:t>měnírny</w:t>
      </w:r>
      <w:proofErr w:type="spellEnd"/>
      <w:r w:rsidR="00597AF2" w:rsidRPr="00597AF2">
        <w:rPr>
          <w:b/>
          <w:sz w:val="22"/>
          <w:szCs w:val="22"/>
        </w:rPr>
        <w:t xml:space="preserve"> </w:t>
      </w:r>
      <w:proofErr w:type="spellStart"/>
      <w:r w:rsidR="00597AF2" w:rsidRPr="00597AF2">
        <w:rPr>
          <w:b/>
          <w:sz w:val="22"/>
          <w:szCs w:val="22"/>
        </w:rPr>
        <w:t>Sokolská</w:t>
      </w:r>
      <w:proofErr w:type="spellEnd"/>
      <w:r w:rsidR="00597AF2" w:rsidRPr="00F47F28" w:rsidDel="00597AF2">
        <w:rPr>
          <w:b/>
          <w:sz w:val="22"/>
          <w:szCs w:val="22"/>
        </w:rPr>
        <w:t xml:space="preserve"> </w:t>
      </w:r>
      <w:r w:rsidR="00F47F28" w:rsidRPr="00F47F28">
        <w:rPr>
          <w:b/>
          <w:sz w:val="22"/>
          <w:szCs w:val="22"/>
        </w:rPr>
        <w:t>“</w:t>
      </w:r>
    </w:p>
    <w:p w14:paraId="7555DD8E" w14:textId="7785FAAA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F47F28" w:rsidRPr="006056B6">
        <w:rPr>
          <w:b/>
          <w:sz w:val="22"/>
          <w:szCs w:val="22"/>
        </w:rPr>
        <w:t>DOD202115</w:t>
      </w:r>
      <w:r w:rsidR="00F47F28">
        <w:rPr>
          <w:b/>
          <w:sz w:val="22"/>
          <w:szCs w:val="22"/>
        </w:rPr>
        <w:t>8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1DE3BBEB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>
        <w:rPr>
          <w:rFonts w:ascii="Arial Black" w:hAnsi="Arial Black"/>
          <w:bCs w:val="0"/>
          <w:kern w:val="0"/>
          <w:sz w:val="24"/>
          <w:szCs w:val="24"/>
          <w:lang w:val="cs-CZ"/>
        </w:rPr>
        <w:t>4</w:t>
      </w: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autorizovaných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07090DB" w:rsidR="00C4580C" w:rsidRPr="00AD0F50" w:rsidRDefault="00057190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="003022E8"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1844"/>
        <w:gridCol w:w="7513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5716886F" w:rsidR="003022E8" w:rsidRPr="00AD0F50" w:rsidRDefault="003022E8" w:rsidP="00D7523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597AF2" w:rsidRPr="00597AF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Technologická zařízení staveb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 w:rsidR="00C46EF9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 nebo T</w:t>
            </w:r>
            <w:r w:rsidR="00C46EF9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2AB27E92" w14:textId="77777777" w:rsidTr="00963909">
        <w:trPr>
          <w:trHeight w:val="155"/>
        </w:trPr>
        <w:tc>
          <w:tcPr>
            <w:tcW w:w="1418" w:type="pct"/>
            <w:vMerge w:val="restart"/>
            <w:vAlign w:val="center"/>
          </w:tcPr>
          <w:p w14:paraId="21CB5522" w14:textId="627B8D87" w:rsidR="00504D4D" w:rsidRPr="00AD0F50" w:rsidRDefault="00504D4D" w:rsidP="00504D4D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Praxe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v projekci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staveb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[od – do, včetně uvedení zaměstnavatele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 xml:space="preserve"> a pracovní pozice</w:t>
            </w:r>
            <w:r w:rsidRPr="009C5AFF"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  <w:t>]:</w:t>
            </w:r>
          </w:p>
        </w:tc>
        <w:tc>
          <w:tcPr>
            <w:tcW w:w="706" w:type="pct"/>
            <w:shd w:val="clear" w:color="auto" w:fill="auto"/>
            <w:vAlign w:val="center"/>
          </w:tcPr>
          <w:p w14:paraId="7D8DB709" w14:textId="23AC11A6" w:rsidR="00504D4D" w:rsidRPr="00AD0F50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9C5AFF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9C5AFF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</w:tcPr>
          <w:p w14:paraId="108DCB07" w14:textId="29506B17" w:rsidR="00504D4D" w:rsidRPr="00AD0F50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59789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Zaměstnavatel, název pozice a stručná pracovní náplň: </w:t>
            </w:r>
            <w:r w:rsidRPr="0059789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1D9F600A" w14:textId="77777777" w:rsidTr="00963909">
        <w:trPr>
          <w:trHeight w:val="153"/>
        </w:trPr>
        <w:tc>
          <w:tcPr>
            <w:tcW w:w="1418" w:type="pct"/>
            <w:vMerge/>
            <w:vAlign w:val="center"/>
          </w:tcPr>
          <w:p w14:paraId="6EF8A64C" w14:textId="77777777" w:rsidR="00504D4D" w:rsidRPr="009C5AFF" w:rsidRDefault="00504D4D" w:rsidP="00504D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</w:tcPr>
          <w:p w14:paraId="0798E04C" w14:textId="5A3777EA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</w:tcPr>
          <w:p w14:paraId="5410A539" w14:textId="134B2F1C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59789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Zaměstnavatel, název pozice a stručná pracovní náplň: </w:t>
            </w:r>
            <w:r w:rsidRPr="0059789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453F23B9" w14:textId="77777777" w:rsidTr="00963909">
        <w:trPr>
          <w:trHeight w:val="153"/>
        </w:trPr>
        <w:tc>
          <w:tcPr>
            <w:tcW w:w="1418" w:type="pct"/>
            <w:vMerge/>
            <w:vAlign w:val="center"/>
          </w:tcPr>
          <w:p w14:paraId="06341B6E" w14:textId="77777777" w:rsidR="00504D4D" w:rsidRPr="009C5AFF" w:rsidRDefault="00504D4D" w:rsidP="00504D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</w:tcPr>
          <w:p w14:paraId="31F2643F" w14:textId="1D0027B9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</w:tcPr>
          <w:p w14:paraId="180CFC7E" w14:textId="5C93165A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59789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Zaměstnavatel, název pozice a stručná pracovní náplň: </w:t>
            </w:r>
            <w:r w:rsidRPr="0059789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56F9388A" w14:textId="77777777" w:rsidTr="00963909">
        <w:trPr>
          <w:trHeight w:val="153"/>
        </w:trPr>
        <w:tc>
          <w:tcPr>
            <w:tcW w:w="1418" w:type="pct"/>
            <w:vMerge/>
            <w:vAlign w:val="center"/>
          </w:tcPr>
          <w:p w14:paraId="224A41A8" w14:textId="77777777" w:rsidR="00504D4D" w:rsidRPr="009C5AFF" w:rsidRDefault="00504D4D" w:rsidP="00504D4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</w:p>
        </w:tc>
        <w:tc>
          <w:tcPr>
            <w:tcW w:w="706" w:type="pct"/>
            <w:shd w:val="clear" w:color="auto" w:fill="auto"/>
          </w:tcPr>
          <w:p w14:paraId="5E5A5828" w14:textId="2A00A446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Od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proofErr w:type="gramStart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>do</w:t>
            </w:r>
            <w:proofErr w:type="gramEnd"/>
            <w:r w:rsidRPr="00122AF2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 </w:t>
            </w:r>
            <w:r w:rsidRPr="00122AF2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2876" w:type="pct"/>
            <w:shd w:val="clear" w:color="auto" w:fill="auto"/>
          </w:tcPr>
          <w:p w14:paraId="15C58E85" w14:textId="01E0AC1C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59789D">
              <w:rPr>
                <w:rFonts w:asciiTheme="minorHAnsi" w:hAnsiTheme="minorHAnsi" w:cstheme="minorHAnsi"/>
                <w:sz w:val="20"/>
                <w:szCs w:val="20"/>
                <w:lang w:val="cs-CZ"/>
              </w:rPr>
              <w:t xml:space="preserve">Zaměstnavatel, název pozice a stručná pracovní náplň: </w:t>
            </w:r>
            <w:r w:rsidRPr="0059789D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704B0933" w:rsidR="003022E8" w:rsidRPr="00AD0F50" w:rsidRDefault="003022E8" w:rsidP="00D15D4B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</w:t>
            </w:r>
            <w:r w:rsidR="00D15D4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poddodavatel, zaměstnanec poddodavatele </w:t>
            </w:r>
            <w:proofErr w:type="spellStart"/>
            <w:r w:rsidR="00D15D4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 w:rsidR="00D15D4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):</w:t>
            </w:r>
            <w:r w:rsidR="00174A7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5DAEA85D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1D45CF61" w14:textId="5AFF3C4E" w:rsidR="00D15D4B" w:rsidRPr="00AD0F50" w:rsidRDefault="00987991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="00D15D4B"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="00D15D4B" w:rsidRPr="00AD0F50">
        <w:rPr>
          <w:rFonts w:asciiTheme="minorHAnsi" w:hAnsiTheme="minorHAnsi" w:cstheme="minorHAnsi"/>
          <w:sz w:val="24"/>
        </w:rPr>
        <w:t xml:space="preserve"> týmu): </w:t>
      </w:r>
    </w:p>
    <w:p w14:paraId="1A316C58" w14:textId="77777777" w:rsidR="00D15D4B" w:rsidRPr="00AD0F50" w:rsidRDefault="00D15D4B" w:rsidP="00D15D4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D15D4B" w:rsidRPr="00AD0F50" w14:paraId="0BD6490E" w14:textId="77777777" w:rsidTr="00EF54A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51636F8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47C17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5D4B" w:rsidRPr="00AD0F50" w14:paraId="0F1F440F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36BD4892" w14:textId="4554B8C8" w:rsidR="00D15D4B" w:rsidRPr="00AD0F50" w:rsidRDefault="00504D4D" w:rsidP="00504D4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svědčení o odborné způsobilosti odpovědné osoby dle zákona č. 174/1968 Sb., o státním odborném dozoru nad bezpečností práce, ve znění pozdějších předpisů a vyhlášky Českého úřadu bezpečnosti práce a Českého báňského úřadu č. 50/1978 Sb., o odborné způsobilosti v elektrotechnice, ve znění pozdějších předpisů (dále jen „Vyhláška č. 50/1978 Sb.“) v rozsahu dle § 10 Vyhlášky č. 50/1978 Sb. pro pracovníky pro samostatné projektování a pracovníky pro řízení projektování na elektrickém zařízení do i nad 1000 V </w:t>
            </w:r>
            <w:proofErr w:type="spellStart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objektech třídy A.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1695E282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5D4B" w:rsidRPr="00AD0F50" w14:paraId="705D24FA" w14:textId="77777777" w:rsidTr="00EF54A6">
        <w:trPr>
          <w:trHeight w:val="689"/>
        </w:trPr>
        <w:tc>
          <w:tcPr>
            <w:tcW w:w="1418" w:type="pct"/>
            <w:vAlign w:val="center"/>
          </w:tcPr>
          <w:p w14:paraId="16F8AE4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5D430D2B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40607C69" w14:textId="77777777" w:rsidR="00D15D4B" w:rsidRPr="00AD0F50" w:rsidRDefault="00D15D4B" w:rsidP="00D15D4B">
      <w:pPr>
        <w:rPr>
          <w:rFonts w:asciiTheme="minorHAnsi" w:hAnsiTheme="minorHAnsi" w:cstheme="minorHAnsi"/>
          <w:lang w:val="cs-CZ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9357"/>
      </w:tblGrid>
      <w:tr w:rsidR="00504D4D" w:rsidRPr="00AD0F50" w14:paraId="754A6D42" w14:textId="77777777" w:rsidTr="00EF54A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3CAE741C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BA9345C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0219616C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434E73E3" w14:textId="4CCD8EEA" w:rsidR="00504D4D" w:rsidRPr="00AD0F50" w:rsidRDefault="00504D4D" w:rsidP="00504D4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svědčení o odborné způsobilosti dle</w:t>
            </w:r>
            <w:r w:rsidRPr="00504D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33C0AF7F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09502691" w14:textId="77777777" w:rsidTr="00EF54A6">
        <w:trPr>
          <w:trHeight w:val="689"/>
        </w:trPr>
        <w:tc>
          <w:tcPr>
            <w:tcW w:w="1418" w:type="pct"/>
            <w:vAlign w:val="center"/>
          </w:tcPr>
          <w:p w14:paraId="22BB2E40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shd w:val="clear" w:color="auto" w:fill="auto"/>
            <w:vAlign w:val="center"/>
          </w:tcPr>
          <w:p w14:paraId="01EA01B5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91B012" w14:textId="77777777" w:rsidR="00D15D4B" w:rsidRPr="00AD0F50" w:rsidRDefault="00D15D4B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166F5" w14:textId="77777777" w:rsidR="00B80694" w:rsidRDefault="00B806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20C68AEB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80694">
      <w:rPr>
        <w:rFonts w:ascii="Times New Roman" w:hAnsi="Times New Roman"/>
        <w:i/>
        <w:noProof/>
        <w:sz w:val="22"/>
        <w:szCs w:val="22"/>
      </w:rPr>
      <w:t>1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B80694">
      <w:rPr>
        <w:rFonts w:ascii="Times New Roman" w:hAnsi="Times New Roman"/>
        <w:i/>
        <w:noProof/>
        <w:sz w:val="22"/>
        <w:szCs w:val="22"/>
      </w:rPr>
      <w:t>3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0CCD83B" w14:textId="08E3CFAE" w:rsidR="003022E8" w:rsidRDefault="003022E8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80C86" w14:textId="77777777" w:rsidR="00B80694" w:rsidRDefault="00B806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6B7B95A5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bookmarkStart w:id="0" w:name="_GoBack"/>
    <w:r w:rsidR="00B80694">
      <w:rPr>
        <w:rStyle w:val="ACNormlnChar"/>
        <w:rFonts w:asciiTheme="minorHAnsi" w:hAnsiTheme="minorHAnsi" w:cstheme="minorHAnsi"/>
        <w:i/>
      </w:rPr>
      <w:t>2</w:t>
    </w:r>
    <w:bookmarkEnd w:id="0"/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057190">
      <w:rPr>
        <w:rStyle w:val="ACNormlnChar"/>
        <w:rFonts w:asciiTheme="minorHAnsi" w:hAnsiTheme="minorHAnsi" w:cstheme="minorHAnsi"/>
        <w:i/>
      </w:rPr>
      <w:t>autorizovaných osobo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1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4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3556"/>
    <w:rsid w:val="000A371D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6BCE"/>
    <w:rsid w:val="002C11B0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612A9"/>
    <w:rsid w:val="00362CC5"/>
    <w:rsid w:val="003C2FD9"/>
    <w:rsid w:val="003D2351"/>
    <w:rsid w:val="003D41B2"/>
    <w:rsid w:val="003F320B"/>
    <w:rsid w:val="00400B8D"/>
    <w:rsid w:val="004039AB"/>
    <w:rsid w:val="00410831"/>
    <w:rsid w:val="00410F23"/>
    <w:rsid w:val="00416234"/>
    <w:rsid w:val="0043008C"/>
    <w:rsid w:val="0049692D"/>
    <w:rsid w:val="004A735D"/>
    <w:rsid w:val="004C715F"/>
    <w:rsid w:val="004D1CEA"/>
    <w:rsid w:val="004E2FBB"/>
    <w:rsid w:val="00504D4D"/>
    <w:rsid w:val="00514868"/>
    <w:rsid w:val="005226C2"/>
    <w:rsid w:val="0052395B"/>
    <w:rsid w:val="00532F8A"/>
    <w:rsid w:val="0055594F"/>
    <w:rsid w:val="00570420"/>
    <w:rsid w:val="005773FD"/>
    <w:rsid w:val="00597AF2"/>
    <w:rsid w:val="005A1E0F"/>
    <w:rsid w:val="005A2C87"/>
    <w:rsid w:val="005B7578"/>
    <w:rsid w:val="005C3719"/>
    <w:rsid w:val="005C3DDD"/>
    <w:rsid w:val="005D5F9B"/>
    <w:rsid w:val="005E3D63"/>
    <w:rsid w:val="006056B6"/>
    <w:rsid w:val="00617679"/>
    <w:rsid w:val="006209D9"/>
    <w:rsid w:val="00621E69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721CE8"/>
    <w:rsid w:val="007265CD"/>
    <w:rsid w:val="00731EE1"/>
    <w:rsid w:val="00734914"/>
    <w:rsid w:val="00744801"/>
    <w:rsid w:val="007515BB"/>
    <w:rsid w:val="0075605D"/>
    <w:rsid w:val="00791A55"/>
    <w:rsid w:val="00794558"/>
    <w:rsid w:val="007A23DA"/>
    <w:rsid w:val="007A5B67"/>
    <w:rsid w:val="007B10A7"/>
    <w:rsid w:val="007C1844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319E2"/>
    <w:rsid w:val="00A354FC"/>
    <w:rsid w:val="00A575A8"/>
    <w:rsid w:val="00A72005"/>
    <w:rsid w:val="00AB161E"/>
    <w:rsid w:val="00AD0F50"/>
    <w:rsid w:val="00AE722D"/>
    <w:rsid w:val="00B26585"/>
    <w:rsid w:val="00B42FA3"/>
    <w:rsid w:val="00B529C2"/>
    <w:rsid w:val="00B80694"/>
    <w:rsid w:val="00BD29ED"/>
    <w:rsid w:val="00BE3926"/>
    <w:rsid w:val="00BF4CB8"/>
    <w:rsid w:val="00C34838"/>
    <w:rsid w:val="00C4580C"/>
    <w:rsid w:val="00C46EF9"/>
    <w:rsid w:val="00C755A0"/>
    <w:rsid w:val="00C7728B"/>
    <w:rsid w:val="00C92FD2"/>
    <w:rsid w:val="00CA172B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B568E"/>
    <w:rsid w:val="00DC6C06"/>
    <w:rsid w:val="00DC7E4A"/>
    <w:rsid w:val="00DD32A9"/>
    <w:rsid w:val="00DD7486"/>
    <w:rsid w:val="00DF2943"/>
    <w:rsid w:val="00E0320F"/>
    <w:rsid w:val="00E0611E"/>
    <w:rsid w:val="00E14491"/>
    <w:rsid w:val="00E16817"/>
    <w:rsid w:val="00EA17F6"/>
    <w:rsid w:val="00EB32AE"/>
    <w:rsid w:val="00EC212A"/>
    <w:rsid w:val="00EE0A80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C38E1-21A9-48DD-B748-7E30DB3F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411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15</cp:revision>
  <dcterms:created xsi:type="dcterms:W3CDTF">2021-05-31T06:41:00Z</dcterms:created>
  <dcterms:modified xsi:type="dcterms:W3CDTF">2021-10-27T10:56:00Z</dcterms:modified>
</cp:coreProperties>
</file>